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4A17" w:rsidRDefault="00CD64EB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9660" w:type="dxa"/>
        <w:tblInd w:w="15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11"/>
        <w:gridCol w:w="3261"/>
        <w:gridCol w:w="2128"/>
        <w:gridCol w:w="1560"/>
      </w:tblGrid>
      <w:tr w:rsidR="00244A17">
        <w:trPr>
          <w:trHeight w:val="273"/>
        </w:trPr>
        <w:tc>
          <w:tcPr>
            <w:tcW w:w="9660" w:type="dxa"/>
            <w:gridSpan w:val="4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44A17" w:rsidRDefault="00CD64EB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                                            </w:t>
            </w:r>
          </w:p>
          <w:p w:rsidR="00244A17" w:rsidRDefault="00CD64EB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  <w:p w:rsidR="00244A17" w:rsidRDefault="00CD64EB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ПОЯСНИТЕЛЬНАЯ ЗАПИСКА</w:t>
            </w:r>
          </w:p>
        </w:tc>
      </w:tr>
      <w:tr w:rsidR="00244A17">
        <w:trPr>
          <w:trHeight w:val="337"/>
        </w:trPr>
        <w:tc>
          <w:tcPr>
            <w:tcW w:w="8100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44A17" w:rsidRDefault="00CD64EB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                     к отчету об исполнении консолидированного бюджета</w:t>
            </w:r>
          </w:p>
        </w:tc>
        <w:tc>
          <w:tcPr>
            <w:tcW w:w="15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44A17" w:rsidRDefault="00CD64EB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244A17">
        <w:trPr>
          <w:trHeight w:val="273"/>
        </w:trPr>
        <w:tc>
          <w:tcPr>
            <w:tcW w:w="27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44A17" w:rsidRDefault="00CD64EB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244A17" w:rsidRDefault="00CD64EB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6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44A17" w:rsidRDefault="00CD64EB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44A17" w:rsidRDefault="00CD64EB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Форма по ОКУД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44A17" w:rsidRDefault="00CD64EB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0503360</w:t>
            </w:r>
          </w:p>
        </w:tc>
      </w:tr>
      <w:tr w:rsidR="00244A17">
        <w:trPr>
          <w:trHeight w:val="273"/>
        </w:trPr>
        <w:tc>
          <w:tcPr>
            <w:tcW w:w="5972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44A17" w:rsidRDefault="00CD64EB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января 2026 г.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44A17" w:rsidRDefault="00CD64EB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Дата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44A17" w:rsidRDefault="00CD64EB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01.01.2026</w:t>
            </w:r>
          </w:p>
        </w:tc>
      </w:tr>
      <w:tr w:rsidR="00244A17">
        <w:trPr>
          <w:trHeight w:val="273"/>
        </w:trPr>
        <w:tc>
          <w:tcPr>
            <w:tcW w:w="27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44A17" w:rsidRDefault="00CD64EB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финансового органа</w:t>
            </w:r>
          </w:p>
        </w:tc>
        <w:tc>
          <w:tcPr>
            <w:tcW w:w="326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44A17" w:rsidRDefault="00CD64EB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ФИНАНСОВОЕ УПРАВЛЕНИЕ ОСИНСКОГО МУНИЦИПАЛЬНОГО РАЙОНА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44A17" w:rsidRDefault="00CD64EB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 ОКПО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44A17" w:rsidRDefault="00CD64EB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05054650</w:t>
            </w:r>
          </w:p>
        </w:tc>
      </w:tr>
      <w:tr w:rsidR="00244A17">
        <w:trPr>
          <w:trHeight w:val="273"/>
        </w:trPr>
        <w:tc>
          <w:tcPr>
            <w:tcW w:w="27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44A17" w:rsidRDefault="00CD64EB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6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44A17" w:rsidRDefault="00CD64EB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44A17" w:rsidRDefault="00CD64EB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Глава по БК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44A17" w:rsidRDefault="00CD64EB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035</w:t>
            </w:r>
          </w:p>
        </w:tc>
      </w:tr>
      <w:tr w:rsidR="00244A17">
        <w:trPr>
          <w:trHeight w:val="273"/>
        </w:trPr>
        <w:tc>
          <w:tcPr>
            <w:tcW w:w="27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44A17" w:rsidRDefault="00CD64EB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бюджета</w:t>
            </w:r>
          </w:p>
        </w:tc>
        <w:tc>
          <w:tcPr>
            <w:tcW w:w="326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44A17" w:rsidRDefault="00CD64EB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Бюджет муниципальных районов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44A17" w:rsidRDefault="00CD64EB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по ОКТМО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44A17" w:rsidRDefault="00CD64EB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25631000</w:t>
            </w:r>
          </w:p>
        </w:tc>
      </w:tr>
      <w:tr w:rsidR="00244A17">
        <w:trPr>
          <w:trHeight w:val="273"/>
        </w:trPr>
        <w:tc>
          <w:tcPr>
            <w:tcW w:w="27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44A17" w:rsidRDefault="00CD64EB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Периодичность: </w:t>
            </w:r>
          </w:p>
        </w:tc>
        <w:tc>
          <w:tcPr>
            <w:tcW w:w="326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44A17" w:rsidRDefault="00CD64EB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месячная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44A17" w:rsidRDefault="00CD64EB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44A17" w:rsidRDefault="00CD64EB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44A17">
        <w:trPr>
          <w:trHeight w:val="356"/>
        </w:trPr>
        <w:tc>
          <w:tcPr>
            <w:tcW w:w="27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44A17" w:rsidRDefault="00CD64EB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Единица измерения: </w:t>
            </w:r>
          </w:p>
        </w:tc>
        <w:tc>
          <w:tcPr>
            <w:tcW w:w="326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44A17" w:rsidRDefault="00CD64EB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44A17" w:rsidRDefault="00CD64EB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по ОКЕИ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44A17" w:rsidRDefault="00CD64EB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383</w:t>
            </w:r>
          </w:p>
        </w:tc>
      </w:tr>
    </w:tbl>
    <w:p w:rsidR="00244A17" w:rsidRDefault="00CD64EB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244A17" w:rsidRDefault="00CD64EB" w:rsidP="00DA4C55">
      <w:pPr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244A17" w:rsidRDefault="00CD64EB">
      <w:pPr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Раздел 1 «Организационная структура субъекта бюджетной отчетности»</w:t>
      </w:r>
    </w:p>
    <w:p w:rsidR="00244A17" w:rsidRDefault="00CD64EB">
      <w:pPr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244A17" w:rsidRDefault="00CD64EB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Основными направлениями деятельности организаций района являются: общегосударственные       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вопросы  (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вопросы исполнительного и законодательного характера), национальная оборона,  сельское хозяйство, жилищно-коммунальное хозяйство, образование, культура и средства массовой информации и спорт.</w:t>
      </w:r>
    </w:p>
    <w:p w:rsidR="00244A17" w:rsidRDefault="00CD64EB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 основании сверки Единого Государственного реестра юридических лиц на 1 января 2026 г. в районе действуют 92 организации, в том числе -  Администрация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Осинского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муниципального района, 12 муниципальных сельских поселений, 12 финансовых отделов сельских поселений, 12 Дум сельских поселений,  12 культурно-досуговых центров сельских поселений, входящих в состав района, Финансовое управление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Осинского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муниципального района, 2 редакции газеты "Знамя труда" и «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Осинские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вести», 13 детских садов, 15 образовательных учреждений начального, общего и среднего звена, 3 школ дополнительного образования, МКУ «Управление культуры»,  МБУК «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Осинский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районый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историко-краеведческий музей», МБУК «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Осинский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межпоселенческий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Дом Культуры», МБУК «МПБ им.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В.К.Петонова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», Отдел по управлению муниципальным имуществом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Осинского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района, Дума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Осинского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муниципального района, Отдел ЖКХ, строительства, архитектуры и экологии администрации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Осинского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муниципального района, МОУ ОЛ "Дружба",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Осинское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МУО, из них 1 автономное, 1 казенное, 43 учреждения, относящихся к органу местного самоуправления и 47 бюджетных учреждений.</w:t>
      </w:r>
    </w:p>
    <w:p w:rsidR="00244A17" w:rsidRDefault="00CD64EB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 всех бюджетных учреждениях учет основных средств ведут по первоначальной стоимости, учет материальных запасов, кроме продуктов питания, так же по учетной стоимости, учет продуктов питания - по средней стоимости.</w:t>
      </w:r>
    </w:p>
    <w:p w:rsidR="00244A17" w:rsidRDefault="00CD64EB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 экономии бюджетных средств, приняты следующие меры: закупки товаров, услуг проводятся по договорам, заключенным по результатам проведенных конкурсов и запросов котировок.</w:t>
      </w:r>
    </w:p>
    <w:p w:rsidR="00244A17" w:rsidRDefault="00CD64EB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В учреждениях проведены инвентаризации бюджетных средств и активов инвентаризационными комиссиями бюджетных учреждений за 2025 год. </w:t>
      </w:r>
    </w:p>
    <w:p w:rsidR="00244A17" w:rsidRDefault="00CD64EB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Дошкольные учреждения посещают 1 171 ребенок. Учатся в 15 образовательных учреждениях 3 718 учащихся.</w:t>
      </w:r>
    </w:p>
    <w:p w:rsidR="00244A17" w:rsidRDefault="00CD64EB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         При исполнении плана финансово-хозяйственной деятельности учреждения привлекаются к бюджетным средствам дополнительные средства за счет предпринимательской и иной приносящий доход деятельности, субсидии на выполнение государственного муниципального задания, субсидии на иные цели.</w:t>
      </w:r>
    </w:p>
    <w:p w:rsidR="00244A17" w:rsidRDefault="00CD64EB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244A17" w:rsidRDefault="00CD64EB">
      <w:pPr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Раздел 2 «Результаты деятельности субъекта бюджетной отчетности»</w:t>
      </w:r>
    </w:p>
    <w:p w:rsidR="00244A17" w:rsidRDefault="00CD64EB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244A17" w:rsidRDefault="00CD64EB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ходе ежегодной обязательной инвентаризации имущества и подтверждения достоверности данных бухгалтерского баланса за 2025 год по учету нефинансовых активов проведена предварительная работа по оценке технического состояния, эффективности использования, обеспеченности основными фондами в целях разработки мероприятий по улучшению условий труда и сохранности основных средств. В течение отчетного периода проводились мероприятия, направленные на повышение эффективности использования основных средств: ремонт, модернизация и техническое обслуживание оборудования и инвентаря, а также контроль за соблюдением правил их эксплуатации. Также осуществляется постоянный внутренний контроль за соблюдением сроков поставки товарно- материальных ценностей, оказания услуг, выполнении работ в соответствии с условиями муниципальных контрактов, сохранностью и использованием материальных запасов.</w:t>
      </w:r>
    </w:p>
    <w:p w:rsidR="00244A17" w:rsidRDefault="00CD64EB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244A17" w:rsidRDefault="00CD64EB">
      <w:pPr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Раздел 3 «Анализ отчета об исполнении бюджета субъектом бюджетной отчетности»</w:t>
      </w:r>
    </w:p>
    <w:p w:rsidR="00244A17" w:rsidRDefault="00CD64EB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244A17" w:rsidRDefault="00CD64EB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 состоянию на 1 января 2026 года исполнение по доходам составило 1 965 966,5 тыс. рублей, что составляет 99,1% от плана, в том числе по муниципальному району 1 892 398,9 тыс. рублей, 286 791,4 тыс. рублей, суммы, подлежащие исключению, составили 213 223,8 тыс. рублей. </w:t>
      </w:r>
    </w:p>
    <w:p w:rsidR="00244A17" w:rsidRDefault="00CD64EB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том числе исполнение по налоговым и неналоговым доходам составило 220 758,3 тыс. рублей или 103,1% от плана, в том числе по району 183 793,6 тыс. рублей, по сельским поселениям 36 964,7 тыс. рублей.</w:t>
      </w:r>
    </w:p>
    <w:p w:rsidR="00244A17" w:rsidRDefault="00CD64EB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Исполнение по безвозмездным поступлениям составило 1 745 208,1 тыс. рублей или 98,6% от плана, по району 1 708 605 288,95 рублей, по сельским поселениям 249 826,6 тыс. рублей. </w:t>
      </w:r>
    </w:p>
    <w:p w:rsidR="00244A17" w:rsidRDefault="00CD64EB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Исполнение по расходам на 1 января 2026 года составило 1 933 615,5 тыс. рублей или 97,2% от плана, в том числе по району 4 193 631,24 рублей, по сельским поселениям 21 813,5 тыс. рублей, внутренние обороты составили 213 223,8 тыс.  рублей.</w:t>
      </w:r>
    </w:p>
    <w:p w:rsidR="00244A17" w:rsidRDefault="00CD64EB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 Профицит составил 32 351 тыс.  рублей.</w:t>
      </w:r>
    </w:p>
    <w:p w:rsidR="00244A17" w:rsidRDefault="00CD64EB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Расходы за счет средств областного бюджета составили – 1 308 652,1 тыс. рублей.</w:t>
      </w:r>
    </w:p>
    <w:p w:rsidR="00244A17" w:rsidRDefault="00CD64EB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Расходы за счет средств федерального бюджета составили – 114 411,2 тыс. рублей.</w:t>
      </w:r>
    </w:p>
    <w:p w:rsidR="00244A17" w:rsidRDefault="00CD64EB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Расходы по разделам подразделам составили:</w:t>
      </w:r>
    </w:p>
    <w:p w:rsidR="00244A17" w:rsidRDefault="00CD64EB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- общегосударственные вопросы -  247 771,9 тыс. рублей, что составляет 98,5% от плановых назначений;</w:t>
      </w:r>
    </w:p>
    <w:p w:rsidR="00244A17" w:rsidRDefault="00CD64EB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- национальная безопасность и правоохранительная деятельность - 4 010,3 тыс. рублей, или 99,1 % от плана;</w:t>
      </w:r>
    </w:p>
    <w:p w:rsidR="00244A17" w:rsidRDefault="00CD64EB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национальная экономика - 51 335,2 тыс. рублей, или 61,4% от плана;</w:t>
      </w:r>
    </w:p>
    <w:p w:rsidR="00244A17" w:rsidRDefault="00CD64EB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жилищно-коммунальное хозяйство - 62 057,6 тыс. рублей, или 89,7% от плана;</w:t>
      </w:r>
    </w:p>
    <w:p w:rsidR="00244A17" w:rsidRDefault="00CD64EB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образование - 1 342 384,5 тыс. рублей, или 99,9% от плана;</w:t>
      </w:r>
    </w:p>
    <w:p w:rsidR="00244A17" w:rsidRDefault="00CD64EB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здравоохранение – 498 тыс. рублей, или 100% от плана;</w:t>
      </w:r>
    </w:p>
    <w:p w:rsidR="00244A17" w:rsidRDefault="00CD64EB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социальная политика - 38 377,8 тыс. рублей или 100% от плана;</w:t>
      </w:r>
    </w:p>
    <w:p w:rsidR="00244A17" w:rsidRDefault="00CD64EB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средства массовой информации - 11 856 тыс. рублей или 98% от плана;</w:t>
      </w:r>
    </w:p>
    <w:p w:rsidR="00244A17" w:rsidRDefault="00CD64EB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межбюджетные трансферты общего характера бюджетам бюджетной системы Российской Федерации – 213 223,8 тыс. рублей – эта же сумма внутренних оборотов, подлежащих исключению. </w:t>
      </w:r>
    </w:p>
    <w:p w:rsidR="00244A17" w:rsidRDefault="00CD64EB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национальная оборона – 3 374,7 тыс. рублей, или 100% от плана;</w:t>
      </w:r>
    </w:p>
    <w:p w:rsidR="00244A17" w:rsidRDefault="00CD64EB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охрана окружающей среды - 7 054,9 рублей или 41,5% от плана;</w:t>
      </w:r>
    </w:p>
    <w:p w:rsidR="00244A17" w:rsidRDefault="00CD64EB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культура и кинематография - 157 357,5 тыс. рублей или 97,1% от плана;</w:t>
      </w:r>
    </w:p>
    <w:p w:rsidR="00244A17" w:rsidRDefault="00CD64EB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физическая культура и спорт - 7 537 тыс. рублей или 95,1 % от плана.</w:t>
      </w:r>
    </w:p>
    <w:p w:rsidR="00244A17" w:rsidRDefault="00CD64EB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244A17" w:rsidRDefault="00CD64EB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244A17" w:rsidRDefault="00CD64EB">
      <w:pPr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Раздел 4 «Анализ показателей бухгалтерской отчетности субъекта бюджетной отчетности»</w:t>
      </w:r>
    </w:p>
    <w:p w:rsidR="00244A17" w:rsidRDefault="00CD64EB">
      <w:pPr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</w:p>
    <w:p w:rsidR="00244A17" w:rsidRDefault="00CD64EB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Исполнение показателей поступления доходов в ф.0503317G за 2025 год:</w:t>
      </w:r>
    </w:p>
    <w:p w:rsidR="00244A17" w:rsidRDefault="00CD64EB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244A17" w:rsidRDefault="00CD64EB">
      <w:pPr>
        <w:numPr>
          <w:ilvl w:val="0"/>
          <w:numId w:val="1"/>
        </w:numPr>
        <w:spacing w:line="276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Превышение плана по КБК 000 1 01 02000 10 0000 110 составляет 6,6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%,  что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обусловлено перечислением в полном объеме заработной платы за декабрь 2025 года. При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уточнении  показателя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декабре 2025 года, прогнозирование было осуществлено с учетом ограниченного финансирования нецелевых межбюджетных трансфертов из областного бюджета.  </w:t>
      </w:r>
    </w:p>
    <w:p w:rsidR="00244A17" w:rsidRDefault="00CD64EB">
      <w:pPr>
        <w:numPr>
          <w:ilvl w:val="0"/>
          <w:numId w:val="1"/>
        </w:numPr>
        <w:spacing w:line="276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Превышение исполнения над плановыми показателями по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КБК 000 1 05 04000 05 0000 110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составляет 49,4%, что обусловлено изменением сроков уплаты налога, взимаемого в связи с применением патентной системы налогообложения, зачисляемый в бюджеты муниципальных районов.  В 2025 году предприниматели обязаны были оплатить налог 28 декабря 2025 года, ранее налог возможно было оплатить в начале года (первые дни января). В период с 29-31 января 2025 года в бюджет района поступил налог в сумме 2,7 млн. рублей. </w:t>
      </w:r>
    </w:p>
    <w:p w:rsidR="00244A17" w:rsidRDefault="00CD64EB">
      <w:pPr>
        <w:numPr>
          <w:ilvl w:val="0"/>
          <w:numId w:val="1"/>
        </w:numPr>
        <w:spacing w:line="276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Превышение плана по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КБК 000 1 11 05013 05 0000 120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составляет 21,1%, что обусловлено поступлением задолженности по арендным платежам за предыдущие периоды.</w:t>
      </w:r>
    </w:p>
    <w:p w:rsidR="00244A17" w:rsidRDefault="00CD64EB">
      <w:pPr>
        <w:numPr>
          <w:ilvl w:val="0"/>
          <w:numId w:val="1"/>
        </w:numPr>
        <w:spacing w:line="276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Невыполнение плана по КБК 000 1 11 05025 10 0000 120 составляет 83,6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%  в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связи не исполнением плана по следующим муниципальным образованиям:</w:t>
      </w:r>
    </w:p>
    <w:p w:rsidR="00244A17" w:rsidRDefault="00CD64EB">
      <w:pPr>
        <w:spacing w:line="276" w:lineRule="auto"/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МО «Бурят-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Янгуты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 - арендатор (предприниматель) не продлил договор аренды по причине закрытия; </w:t>
      </w:r>
    </w:p>
    <w:p w:rsidR="00244A17" w:rsidRDefault="00CD64EB">
      <w:pPr>
        <w:spacing w:line="276" w:lineRule="auto"/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МО «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Ирхидей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 - арендатор ООО «СПМК7» не оплатил в срок арендную плату;</w:t>
      </w:r>
    </w:p>
    <w:p w:rsidR="00244A17" w:rsidRDefault="00CD64EB">
      <w:pPr>
        <w:spacing w:line="276" w:lineRule="auto"/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МО «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Каха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Онгойское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 - арендатор (ИП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Балдунов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П.М.)  не оплатил в срок арендную плату;</w:t>
      </w:r>
    </w:p>
    <w:p w:rsidR="00244A17" w:rsidRDefault="00CD64EB">
      <w:pPr>
        <w:spacing w:line="276" w:lineRule="auto"/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-МО "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Пос.Приморский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 - не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оплата  арендаторами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срок арендной платы.</w:t>
      </w:r>
    </w:p>
    <w:p w:rsidR="00244A17" w:rsidRDefault="00CD64EB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5. Невыполнение плана по КБК 000 1 14 02053 05 0000 410 составляет 75,4%. По пояснению главного администратора дохода – Отдела по управлению муниципальным имуществом и земельным отношениям, не выполнение плана обусловлено сложностью прогнозирования и фактической реализации имущества.</w:t>
      </w:r>
    </w:p>
    <w:p w:rsidR="00244A17" w:rsidRDefault="00CD64EB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6. Невыполнение плана по КБК 000 1 14 06025 05 0000 430 составляет 67,1%. По пояснению главного администратора дохода – Отдела по управлению муниципальным имуществом и земельным отношениям, не выполнение плана обусловлено сложностью прогнозирования и фактической реализации земельных участков.</w:t>
      </w:r>
    </w:p>
    <w:p w:rsidR="00244A17" w:rsidRDefault="00CD64EB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7. Невыполнение плана по КБК 000 1 14 06025 10 0000 430 составляет 84,7% по следующим муниципальным образованиям:</w:t>
      </w:r>
    </w:p>
    <w:p w:rsidR="00244A17" w:rsidRDefault="00CD64EB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 МО «Ново-Ленино» -планировалась продажа земельного участка. В результате проведенных торгов, участок был реализован, но победитель не произвел оплату в установленный срок; </w:t>
      </w:r>
    </w:p>
    <w:p w:rsidR="00244A17" w:rsidRDefault="00CD64EB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МО «Пос.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Приморский»  -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декабре 2025 года планировалась продажа земельного участка (по заявлению от собственника пограничного участка о перераспределении земельного участка) на сумму 638,8 тыс. рублей, но оплата поступила частично в сумме 100,0 тыс. рублей. Арендатор обязался оплатить в январе 2026 года; </w:t>
      </w:r>
    </w:p>
    <w:p w:rsidR="00244A17" w:rsidRDefault="00CD64EB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МО «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Усть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Алтан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 - превышение плановых показателей в 4,1 раза, что обусловлено поступлением задолженности за реализованный в 2023 году земельный участок (50 га).</w:t>
      </w:r>
    </w:p>
    <w:p w:rsidR="00244A17" w:rsidRDefault="00CD64EB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9. Исполнение по штрафам, санкциям, возмещению ущерба составляет 92%, что обусловлено неравномерностью поступления платежей в бюджет, а также не исполнением прогноза поступлений:</w:t>
      </w:r>
    </w:p>
    <w:p w:rsidR="00244A17" w:rsidRDefault="00CD64EB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по КБК 1 16 10100 05 0000 140 «Денежные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 невыполнение составляет 85,5% – 4 учреждения (МБУДО «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Осинская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ДЮСШ», МБОУ «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Осинская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СОШ №1», МБОУ «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Мольтинская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ООШ», МБОУ «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Рассветская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ООШ») не перечислили в бюджет денежные взыскания по представлениям КСП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Осинского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района, отдела по внутреннему контролю администрации  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Осинского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муниципального района;</w:t>
      </w:r>
    </w:p>
    <w:p w:rsidR="00244A17" w:rsidRDefault="00CD64EB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по КБК 1 16 11050 05 0000 140 «Платежи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территориях), подлежащие зачислению в бюджет муниципального образования» невыполнение составляет 89,6%, за счет поступлений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  администратору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815 «Министерство природных ресурсов и экологии Иркутской области». Прогноз на 2025 был сформирован исходя из прогноза Министерства   от 20.08.2025 г. в сумме 906,0 тыс. рублей, исполнение за 2025 год составило 645,9 тыс. рублей (71,3%).</w:t>
      </w:r>
    </w:p>
    <w:p w:rsidR="00244A17" w:rsidRDefault="00CD64EB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244A17" w:rsidRDefault="00CD64EB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Дебиторская задолженность за 2025 год составила 4 388 583,7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тыс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рублей, долгосрочная 3 376 705,2 тыс. рублей, просроченная – 8 723,7 тыс. рублей. </w:t>
      </w:r>
    </w:p>
    <w:p w:rsidR="00244A17" w:rsidRDefault="00CD64EB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разрезе аналитических счетов на конец отчетного периода дебиторская задолженность составляет:</w:t>
      </w:r>
    </w:p>
    <w:p w:rsidR="00244A17" w:rsidRDefault="00CD64EB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- по счету 205.10 «Расчеты с плательщиками налогов» - 9 075.1 тыс. рублей;</w:t>
      </w:r>
    </w:p>
    <w:p w:rsidR="00244A17" w:rsidRDefault="00CD64EB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по счету 205.20 «Доходы от собственности» - 53 145 тыс. рублей;</w:t>
      </w:r>
    </w:p>
    <w:p w:rsidR="00244A17" w:rsidRDefault="00CD64EB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-по счету 205.40 «Расчеты по суммам штрафов, пеней, неустоек, возмещений ущерба» - 7,45 тыс. рублей;</w:t>
      </w:r>
    </w:p>
    <w:p w:rsidR="00244A17" w:rsidRDefault="00CD64EB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- по счету205.50 «Расчеты по безвозмездным денежным поступлениям текущего характера» - 4 320 369,7 тыс. рублей;</w:t>
      </w:r>
    </w:p>
    <w:p w:rsidR="00244A17" w:rsidRDefault="00CD64EB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- по счету 205.60 «Расчеты по безвозмездным денежным поступлениям капитального характера» - 418,8 тыс. рублей;</w:t>
      </w:r>
    </w:p>
    <w:p w:rsidR="00244A17" w:rsidRDefault="00CD64EB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по счету 205.70 «Расчеты по доходам от операций с активами» - 2 498,8 тыс. рублей;</w:t>
      </w:r>
    </w:p>
    <w:p w:rsidR="00244A17" w:rsidRDefault="00CD64EB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по счету 206.20 «Расчеты по авансам по работам, услугам» - 668,1 тыс. рублей;</w:t>
      </w:r>
    </w:p>
    <w:p w:rsidR="00244A17" w:rsidRDefault="00CD64EB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по счету 206.30 «Расчеты по авансам по поступлению нефинансовых активов» - 238,5 тыс. рублей;</w:t>
      </w:r>
    </w:p>
    <w:p w:rsidR="00244A17" w:rsidRDefault="00CD64EB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по счету 209.40 «Расчеты по штрафам, пеням, неустойкам, возмещениям ущерба» - 2 162,3 тыс. рублей;</w:t>
      </w:r>
    </w:p>
    <w:p w:rsidR="00244A17" w:rsidRDefault="00CD64EB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Кредиторская задолженность за 2025 год на конец отчетного периода составила 4 411 948,5 тыс. рублей. </w:t>
      </w:r>
    </w:p>
    <w:p w:rsidR="00244A17" w:rsidRDefault="00CD64EB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разрезе аналитических счетов на конец отчетного периода кредиторская задолженность составляет:</w:t>
      </w:r>
    </w:p>
    <w:p w:rsidR="00244A17" w:rsidRDefault="00CD64EB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по счету 205.10 «Расчеты с плательщиками налогов» - 756,4 тыс.  рублей;</w:t>
      </w:r>
    </w:p>
    <w:p w:rsidR="00244A17" w:rsidRDefault="00CD64EB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по счету 205.20 «Доходы от собственности» - 27,9 тыс. рублей;</w:t>
      </w:r>
    </w:p>
    <w:p w:rsidR="00244A17" w:rsidRDefault="00CD64EB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-по счету 205.40 «Расчеты по суммам штрафов, пеней, неустоек, возмещений ущерба» - 15,5 тыс. рублей;</w:t>
      </w:r>
    </w:p>
    <w:p w:rsidR="00244A17" w:rsidRDefault="00CD64EB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по счету 205.70 «Расчеты по доходам от операций с активами» - 29,3 тыс. рублей;</w:t>
      </w:r>
    </w:p>
    <w:p w:rsidR="00244A17" w:rsidRDefault="00CD64EB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по счету 205.80 «Расчеты по прочим доходам» - 25 тыс. рублей;</w:t>
      </w:r>
    </w:p>
    <w:p w:rsidR="00244A17" w:rsidRDefault="00CD64EB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по счету 208.30 «Расчеты с подотчетными лицами по поступлению нефинансовых активов» - 9,2 тыс. рублей;</w:t>
      </w:r>
    </w:p>
    <w:p w:rsidR="00244A17" w:rsidRDefault="00CD64EB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по счету 302.10 «Расчеты по оплате труда и начислениям на выплаты по оплате труда» - 706,8 тыс. рублей;</w:t>
      </w:r>
    </w:p>
    <w:p w:rsidR="00244A17" w:rsidRDefault="00CD64EB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по счету 302.20 «Расчеты по работам, услугам» - 18 760,5 тыс. рублей;</w:t>
      </w:r>
    </w:p>
    <w:p w:rsidR="00244A17" w:rsidRDefault="00CD64EB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по счету 302.30 «Расчеты по поступлению нефинансовых активов» - 301,2 тыс. рублей;</w:t>
      </w:r>
    </w:p>
    <w:p w:rsidR="00244A17" w:rsidRDefault="00CD64EB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по счету 302.60 «Расчеты по социальному обеспечению» - 332,9 тыс. рублей;</w:t>
      </w:r>
    </w:p>
    <w:p w:rsidR="00244A17" w:rsidRDefault="00CD64EB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по счету 303 «Расчеты по платежам в бюджеты» - 4 340,4 тыс. рублей;</w:t>
      </w:r>
    </w:p>
    <w:p w:rsidR="00244A17" w:rsidRDefault="00CD64EB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по счету 304.03 «Расчеты по удержаниям из выплат по оплате труда» - 57,6 тыс. рублей;</w:t>
      </w:r>
    </w:p>
    <w:p w:rsidR="00244A17" w:rsidRDefault="00CD64EB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по счету 401.40 «Доходы будущих периодов» - 4 631 260,3 тыс. рублей;</w:t>
      </w:r>
    </w:p>
    <w:p w:rsidR="00244A17" w:rsidRDefault="00CD64EB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по </w:t>
      </w:r>
      <w:r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</w:rPr>
        <w:t>счету 401.60 «Резервы предстоящих расходов» - 25 307,6 тыс. рублей.</w:t>
      </w:r>
    </w:p>
    <w:p w:rsidR="00244A17" w:rsidRDefault="00CD64EB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Просроченная кредиторская задолженность по состоянию на 1.01.2026 года отсутствует.</w:t>
      </w:r>
    </w:p>
    <w:p w:rsidR="00244A17" w:rsidRDefault="00CD64EB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244A17" w:rsidRDefault="00CD64EB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[0503320G] Баланс исполнения консолидированного бюджета субъекта Российской Федерации и бюджета территориального государственного внебюджетного фонда</w:t>
      </w:r>
    </w:p>
    <w:p w:rsidR="00244A17" w:rsidRDefault="00CD64EB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соответствии с отчетом балансовая стоимость основных средств на 1.01.2026 года составила 1 501 870,4 тыс. рублей.  </w:t>
      </w:r>
    </w:p>
    <w:p w:rsidR="00244A17" w:rsidRDefault="00CD64EB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Уменьшение стоимости основных средств составило 421 640,5 тыс. рублей;</w:t>
      </w:r>
    </w:p>
    <w:p w:rsidR="00244A17" w:rsidRDefault="00CD64EB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Финансовые вложения составили1 346 688,2 тыс. рублей.</w:t>
      </w:r>
    </w:p>
    <w:p w:rsidR="00244A17" w:rsidRDefault="00CD64EB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Дебиторская задолженность по доходам составила 4 387 677,1 тыс. рублей;</w:t>
      </w:r>
    </w:p>
    <w:p w:rsidR="00244A17" w:rsidRDefault="00CD64EB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Дебиторская задолженность по выплатам составила 906,6 тыс. рублей;</w:t>
      </w:r>
    </w:p>
    <w:p w:rsidR="00244A17" w:rsidRDefault="00CD64EB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Кредиторская задолженность по выплатам составила 20 186 137,56 тыс. рублей;</w:t>
      </w:r>
    </w:p>
    <w:p w:rsidR="00244A17" w:rsidRDefault="00CD64EB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Кредиторская задолженность по доходам 854,2 тыс. рублей;</w:t>
      </w:r>
    </w:p>
    <w:p w:rsidR="00244A17" w:rsidRDefault="00CD64EB" w:rsidP="00B4019A">
      <w:pPr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Резервы предстоящих расходов 25 307,6 тыс. рублей.</w:t>
      </w:r>
    </w:p>
    <w:p w:rsidR="00244A17" w:rsidRDefault="00CD64EB">
      <w:pPr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lastRenderedPageBreak/>
        <w:br/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Раздел 5 «Прочие вопросы деятельности субъекта бюджетной отчетности»</w:t>
      </w:r>
    </w:p>
    <w:p w:rsidR="00244A17" w:rsidRDefault="00CD64EB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244A17" w:rsidRDefault="00CD64EB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Представленные показатели отчетности сформированы в соответствии с</w:t>
      </w:r>
    </w:p>
    <w:p w:rsidR="00244A17" w:rsidRDefault="00CD64EB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нормативными правовыми актами, регулирующими ведение бюджетного</w:t>
      </w:r>
    </w:p>
    <w:p w:rsidR="00244A17" w:rsidRDefault="00CD64EB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(бухгалтерского) учета и составление отчетности:</w:t>
      </w:r>
    </w:p>
    <w:p w:rsidR="00244A17" w:rsidRDefault="00CD64EB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244A17" w:rsidRDefault="00CD64EB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Бюджетный кодекс Российской Федерации от 31.07.1998 № 145-ФЗ (в ред. 28.11.2025 г.);</w:t>
      </w:r>
    </w:p>
    <w:p w:rsidR="00244A17" w:rsidRDefault="00CD64EB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244A17" w:rsidRDefault="00CD64EB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Федеральный закон от 06.12.2011 № 402-ФЗ «О бухгалтерском учете»;</w:t>
      </w:r>
    </w:p>
    <w:p w:rsidR="00244A17" w:rsidRDefault="00CD64EB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244A17" w:rsidRDefault="00CD64EB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Приказ Министерства финансов Российской Федерации от 30.08.2024 № 121н «Об утверждении федерального стандарта бухгалтерского учета государственных финансов «Единый план счетов бухгалтерского учета государственных финансов»;</w:t>
      </w:r>
    </w:p>
    <w:p w:rsidR="00244A17" w:rsidRDefault="00CD64EB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244A17" w:rsidRDefault="00CD64EB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Приказ Министерства финансов Российской Федерации от 30.03.2015 № 52н «Об утверждении форм первичных учетных документов и регистров бухгалтерского учета, применяемых органами государственной власти (государственными органами), органами местного самоуправления, органами управления государственными внебюджетными фондами, государственными (муниципальными) учреждениями, и методических указаний по их применению»;</w:t>
      </w:r>
    </w:p>
    <w:p w:rsidR="00244A17" w:rsidRDefault="00CD64EB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Приказ Министерства финансов Российской Федерации от 28.12.2010 № 191н «Об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Федерации»;</w:t>
      </w:r>
    </w:p>
    <w:p w:rsidR="00244A17" w:rsidRDefault="00CD64EB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244A17" w:rsidRDefault="00CD64EB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Приказ Министерства финансов Российской Федерации от 29.11.2017 № 209н «Об утверждении порядка применения классификации операций сектора государственного управления» и других действующих нормативно-правовых актов, регулирующих ведение бюджетного учета и составление отчетности.</w:t>
      </w:r>
    </w:p>
    <w:p w:rsidR="00244A17" w:rsidRDefault="00CD64EB">
      <w:pPr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244A17" w:rsidRDefault="00CD64EB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</w:p>
    <w:p w:rsidR="00244A17" w:rsidRDefault="00CD64EB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Форма: 0503321G ошибка на КС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</w:p>
    <w:p w:rsidR="00244A17" w:rsidRDefault="00CD64EB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Отрицательные суммы по строке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092 «Доходы от выбытия активов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</w:p>
    <w:p w:rsidR="00244A17" w:rsidRDefault="00CD64EB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- 4 956 753,2 рублей - Администрация МО «Ново-Ленино» - приватизация квартир </w:t>
      </w:r>
    </w:p>
    <w:p w:rsidR="00244A17" w:rsidRDefault="00CD64EB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- 3 116 620,25 рублей Администрация МО «Поселок Приморский» - приватизация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квартир;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-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101 799 348,43 рублей – Администрация МО «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Усть-Алтан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 - приватизация квартир</w:t>
      </w:r>
    </w:p>
    <w:p w:rsidR="00244A17" w:rsidRDefault="00CD64EB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Отрицательные суммы по строке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096 «Доходы от оценки активов и обязательств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</w:p>
    <w:p w:rsidR="00244A17" w:rsidRDefault="00CD64EB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- 190 773,83 – Администрация МО «Бильчир» - корректировка балансовой стоимости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имущества;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-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26 685 541,84 – Администрация МО «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Обуса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 - уценка имущества.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Отрицательные суммы по строке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246 «Социальные пособия и компенсации персоналу в денежной форме»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244A17" w:rsidRDefault="00CD64EB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- 13 447,47 Администрация МО «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Бильчир»  -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ранее неучтенная кредиторская задолженность по возмещению дней по уходу за детьми-инвалидами.</w:t>
      </w:r>
    </w:p>
    <w:p w:rsidR="00244A17" w:rsidRDefault="00CD64EB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</w:p>
    <w:p w:rsidR="00244A17" w:rsidRDefault="00CD64EB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Форма: 0503369G_БК ошибки на КС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244A17" w:rsidRDefault="00CD64EB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Правило №ФК-1-22_369_р 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 гр2,5,8,11,14,17,20,23,26,29 = т2 гр4,7,10,13,16,19,22,25,28,31 Комментарий: Кредиторская задолженность по НДФЛ не отнесена к просроченной – требуется пояснение</w:t>
      </w:r>
    </w:p>
    <w:p w:rsidR="00244A17" w:rsidRDefault="00CD64EB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Правило №ФК-1-22_369_ит т4 гр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2,5,8,11,14,17,20,23,26,29 = т4 гр4,7,10,13,16,19,22,25,28,31 Комментарий: Кредиторская задолженность по НДФЛ не отнесена к просроченной – требуется пояснение</w:t>
      </w:r>
    </w:p>
    <w:p w:rsidR="00244A17" w:rsidRDefault="00CD64EB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244A17" w:rsidRDefault="00CD64EB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Поясняем: </w:t>
      </w:r>
    </w:p>
    <w:p w:rsidR="00244A17" w:rsidRDefault="00CD64EB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Задолженность по НДФЛ не отнесена к просроченной, так как срок уплаты НДФЛ за декабрь наступит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28.01.,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НДФЛ, начисленный за период с 23.12 по 31.12, является текущей задолженностью. </w:t>
      </w:r>
    </w:p>
    <w:p w:rsidR="00244A17" w:rsidRDefault="00CD64EB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244A17" w:rsidRDefault="00CD64EB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Форма 0503369G ошибка на МДКС</w:t>
      </w:r>
    </w:p>
    <w:p w:rsidR="00244A17" w:rsidRDefault="00CD64EB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Группа правил: 9045 - Проверка 0503369G c 0503369G прошлого года</w:t>
      </w:r>
    </w:p>
    <w:p w:rsidR="00244A17" w:rsidRDefault="00CD64EB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 В ф.0503373 Сведения об изменении остатков валюты баланса (бюджетная деятельность), сформированной в составе годовой отчетности отражено исправление в течении финансового года ошибок прошлых лет в части ведения бухгалтерского учета, в частности уменьшение кредиторской задолженности по счету 130264007 на сумму 323380,00 рублей в связи с бухгалтерской ошибкой в расчетах.</w:t>
      </w:r>
    </w:p>
    <w:p w:rsidR="00244A17" w:rsidRDefault="00CD64EB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244A17" w:rsidRDefault="00CD64EB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ф.0503369G на 01.01.2026 по КБК 11610123010000140 сумма не соответствует остатку дебиторской задолженности на начало года на 0,45 руб. в связи с бухгалтерской ошибкой в расчетах в отчете за аналогичный период прошлого года.</w:t>
      </w:r>
    </w:p>
    <w:p w:rsidR="00244A17" w:rsidRDefault="00CD64EB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244A17" w:rsidRDefault="00CD64EB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Форма: 410Gf Ошибки на КС</w:t>
      </w:r>
    </w:p>
    <w:p w:rsidR="00244A17" w:rsidRDefault="00CD64EB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правило №Р-9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т1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&lt; 1000000000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Комментарий: Показатели превышающие 1 млрд. руб., подлежат раскрытию в текстовой части Пояснительной записки (Письмо Минфина России от 30.12.2021 № 02-06-07/108105 / 07-04-05/02-33040)</w:t>
      </w:r>
    </w:p>
    <w:p w:rsidR="00244A17" w:rsidRDefault="00CD64EB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Данное превышение объясняется тем, что при передаче имущества из бюджетов сельских поселений в бюджет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Осинского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муниципального района проводилась переоценка имущества.</w:t>
      </w:r>
    </w:p>
    <w:p w:rsidR="00244A17" w:rsidRDefault="00CD64EB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244A17" w:rsidRDefault="00CD64EB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связи с отсутствием плановых показателей сформированы нулевые отчеты </w:t>
      </w:r>
    </w:p>
    <w:p w:rsidR="00244A17" w:rsidRDefault="00CD64EB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0503125G_ДОП Код СБУ=140110195 Справка по консолидируемым расчётам </w:t>
      </w:r>
    </w:p>
    <w:p w:rsidR="00244A17" w:rsidRDefault="00CD64EB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0503125G_ДОП Код СБУ=140120251 Справка по консолидируемым расчётам </w:t>
      </w:r>
    </w:p>
    <w:p w:rsidR="00244A17" w:rsidRDefault="00CD64EB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0503125G_ДОП Код СБУ=140110191 Справка по консолидируемым расчётам </w:t>
      </w:r>
    </w:p>
    <w:p w:rsidR="00244A17" w:rsidRDefault="00CD64EB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0503125G_ДОП Код СБУ=140110189 Справка по консолидируемым расчётам </w:t>
      </w:r>
    </w:p>
    <w:p w:rsidR="00244A17" w:rsidRDefault="00CD64EB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0503125G_ДОП Код СБУ=140120254 Справка по консолидируемым расчётам </w:t>
      </w:r>
    </w:p>
    <w:p w:rsidR="00244A17" w:rsidRDefault="00CD64EB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0503372G Сведения о государственном (муниципальном) долге, предоставленных бюджетных кредитах консолидированного бюджета</w:t>
      </w:r>
    </w:p>
    <w:p w:rsidR="00244A17" w:rsidRDefault="00CD64EB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425G Код СБУ=140110189 Справка по консолидируемым расчётам</w:t>
      </w:r>
    </w:p>
    <w:p w:rsidR="00244A17" w:rsidRDefault="00CD64EB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425G Код СБУ=140141151 Справка по консолидируемым расчётам</w:t>
      </w:r>
    </w:p>
    <w:p w:rsidR="00244A17" w:rsidRDefault="00CD64EB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425G Код СБУ=140141161 Справка по консолидируемым расчётам</w:t>
      </w:r>
    </w:p>
    <w:p w:rsidR="00244A17" w:rsidRDefault="00CD64EB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425G Код СБУ=130111710 Справка по консолидируемым расчётам</w:t>
      </w:r>
    </w:p>
    <w:p w:rsidR="00244A17" w:rsidRDefault="00CD64EB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425G Код СБУ=130111000 Справка по консолидируемым расчётам</w:t>
      </w:r>
    </w:p>
    <w:p w:rsidR="00244A17" w:rsidRDefault="00CD64EB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425G Код СБУ=140120254 Справка по консолидируемым расчётам</w:t>
      </w:r>
    </w:p>
    <w:p w:rsidR="00244A17" w:rsidRDefault="00CD64EB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425G Код СБУ=140120251 Справка по консолидируемым расчётам</w:t>
      </w:r>
    </w:p>
    <w:p w:rsidR="00244A17" w:rsidRDefault="00CD64EB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425G Код СБУ=130111810 Справка по консолидируемым расчётам  </w:t>
      </w:r>
    </w:p>
    <w:p w:rsidR="00244A17" w:rsidRDefault="00CD64EB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Начальник финансового управления                                              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Н.В.Мантыкова</w:t>
      </w:r>
      <w:proofErr w:type="spellEnd"/>
    </w:p>
    <w:p w:rsidR="00244A17" w:rsidRDefault="00CD64EB">
      <w:pPr>
        <w:jc w:val="both"/>
        <w:rPr>
          <w:color w:val="000000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Осинского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муниципального района</w:t>
      </w:r>
    </w:p>
    <w:p w:rsidR="00244A17" w:rsidRDefault="00CD64EB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244A17" w:rsidRDefault="00CD64EB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Начальник отдела учета и отчетности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Ж.Л.Танганова</w:t>
      </w:r>
      <w:proofErr w:type="spellEnd"/>
    </w:p>
    <w:p w:rsidR="00244A17" w:rsidRDefault="00244A17"/>
    <w:p w:rsidR="00244A17" w:rsidRDefault="00CD64EB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244A17" w:rsidRDefault="00CD64EB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244A17" w:rsidRDefault="00CD64EB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9960" w:type="dxa"/>
        <w:tblInd w:w="-34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2"/>
        <w:gridCol w:w="4716"/>
        <w:gridCol w:w="3114"/>
      </w:tblGrid>
      <w:tr w:rsidR="00244A17"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44A17" w:rsidRDefault="00CD64EB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Руководитель</w:t>
            </w:r>
          </w:p>
        </w:tc>
        <w:tc>
          <w:tcPr>
            <w:tcW w:w="428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44A17" w:rsidRDefault="00CD64EB">
            <w:pPr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u w:val="single"/>
              </w:rPr>
              <w:drawing>
                <wp:inline distT="0" distB="0" distL="0" distR="0">
                  <wp:extent cx="2857500" cy="9525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7500" cy="952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44A17" w:rsidRDefault="00CD64EB">
            <w:pPr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Мантыкова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Наталья Васильевна</w:t>
            </w:r>
          </w:p>
        </w:tc>
      </w:tr>
      <w:tr w:rsidR="00244A17">
        <w:trPr>
          <w:trHeight w:val="280"/>
        </w:trPr>
        <w:tc>
          <w:tcPr>
            <w:tcW w:w="255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44A17" w:rsidRDefault="00244A17">
            <w:pPr>
              <w:rPr>
                <w:sz w:val="24"/>
              </w:rPr>
            </w:pPr>
          </w:p>
        </w:tc>
        <w:tc>
          <w:tcPr>
            <w:tcW w:w="428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44A17" w:rsidRDefault="00CD64EB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</w:rPr>
              <w:t>(подпись)</w:t>
            </w:r>
          </w:p>
        </w:tc>
        <w:tc>
          <w:tcPr>
            <w:tcW w:w="311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44A17" w:rsidRDefault="00CD64EB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</w:rPr>
              <w:t>(расшифровка подписи)</w:t>
            </w:r>
          </w:p>
        </w:tc>
      </w:tr>
      <w:tr w:rsidR="00244A17">
        <w:trPr>
          <w:trHeight w:val="281"/>
        </w:trPr>
        <w:tc>
          <w:tcPr>
            <w:tcW w:w="9954" w:type="dxa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44A17" w:rsidRDefault="00CD64EB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244A17">
        <w:trPr>
          <w:trHeight w:val="281"/>
        </w:trPr>
        <w:tc>
          <w:tcPr>
            <w:tcW w:w="2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44A17" w:rsidRDefault="00CD64EB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Руководитель планово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28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44A17" w:rsidRDefault="00CD64EB">
            <w:pPr>
              <w:ind w:right="-73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noProof/>
              </w:rPr>
              <w:drawing>
                <wp:inline distT="0" distB="0" distL="0" distR="0">
                  <wp:extent cx="2857500" cy="95250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7500" cy="952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44A17" w:rsidRPr="00B4019A" w:rsidRDefault="00CD64EB" w:rsidP="00B4019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B4019A">
              <w:rPr>
                <w:rFonts w:ascii="Times New Roman" w:hAnsi="Times New Roman" w:cs="Times New Roman"/>
                <w:sz w:val="24"/>
              </w:rPr>
              <w:t>Богданова Наталья Кон</w:t>
            </w:r>
            <w:r w:rsidR="00B4019A">
              <w:rPr>
                <w:rFonts w:ascii="Times New Roman" w:hAnsi="Times New Roman" w:cs="Times New Roman"/>
                <w:sz w:val="24"/>
              </w:rPr>
              <w:t>с</w:t>
            </w:r>
            <w:r w:rsidRPr="00B4019A">
              <w:rPr>
                <w:rFonts w:ascii="Times New Roman" w:hAnsi="Times New Roman" w:cs="Times New Roman"/>
                <w:sz w:val="24"/>
              </w:rPr>
              <w:t>тантиновна</w:t>
            </w:r>
          </w:p>
        </w:tc>
      </w:tr>
      <w:tr w:rsidR="00244A17">
        <w:trPr>
          <w:trHeight w:val="281"/>
        </w:trPr>
        <w:tc>
          <w:tcPr>
            <w:tcW w:w="2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44A17" w:rsidRDefault="00CD64EB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экономической службы</w:t>
            </w:r>
          </w:p>
        </w:tc>
        <w:tc>
          <w:tcPr>
            <w:tcW w:w="428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44A17" w:rsidRDefault="00CD64EB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</w:rPr>
              <w:t>(подпись)</w:t>
            </w:r>
          </w:p>
        </w:tc>
        <w:tc>
          <w:tcPr>
            <w:tcW w:w="311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44A17" w:rsidRDefault="00CD64EB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</w:rPr>
              <w:t>(расшифровка подписи)</w:t>
            </w:r>
          </w:p>
        </w:tc>
      </w:tr>
      <w:tr w:rsidR="00244A17">
        <w:trPr>
          <w:trHeight w:val="281"/>
        </w:trPr>
        <w:tc>
          <w:tcPr>
            <w:tcW w:w="9954" w:type="dxa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44A17" w:rsidRDefault="00244A17">
            <w:pPr>
              <w:rPr>
                <w:sz w:val="24"/>
              </w:rPr>
            </w:pPr>
          </w:p>
        </w:tc>
      </w:tr>
      <w:tr w:rsidR="00244A17">
        <w:trPr>
          <w:trHeight w:val="281"/>
        </w:trPr>
        <w:tc>
          <w:tcPr>
            <w:tcW w:w="2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44A17" w:rsidRDefault="00CD64EB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Главный</w:t>
            </w:r>
          </w:p>
        </w:tc>
        <w:tc>
          <w:tcPr>
            <w:tcW w:w="428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44A17" w:rsidRDefault="00CD64EB">
            <w:pPr>
              <w:ind w:left="-139" w:right="-288" w:firstLine="3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u w:val="single"/>
              </w:rPr>
              <w:drawing>
                <wp:inline distT="0" distB="0" distL="0" distR="0">
                  <wp:extent cx="2857500" cy="95250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3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7500" cy="952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44A17" w:rsidRDefault="00CD64EB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Танганова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Жанна Леонидовна</w:t>
            </w:r>
          </w:p>
        </w:tc>
      </w:tr>
      <w:tr w:rsidR="00244A17">
        <w:trPr>
          <w:trHeight w:val="281"/>
        </w:trPr>
        <w:tc>
          <w:tcPr>
            <w:tcW w:w="2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44A17" w:rsidRDefault="00CD64EB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бухгалтер</w:t>
            </w:r>
          </w:p>
        </w:tc>
        <w:tc>
          <w:tcPr>
            <w:tcW w:w="428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44A17" w:rsidRDefault="00CD64EB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</w:rPr>
              <w:t>(подпись)</w:t>
            </w:r>
          </w:p>
        </w:tc>
        <w:tc>
          <w:tcPr>
            <w:tcW w:w="311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44A17" w:rsidRDefault="00CD64EB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</w:rPr>
              <w:t>(расшифровка подписи)</w:t>
            </w:r>
          </w:p>
        </w:tc>
      </w:tr>
      <w:tr w:rsidR="00244A17">
        <w:trPr>
          <w:trHeight w:val="449"/>
        </w:trPr>
        <w:tc>
          <w:tcPr>
            <w:tcW w:w="2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44A17" w:rsidRDefault="00CD64EB" w:rsidP="00CD64EB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6»февраля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2026г.</w:t>
            </w:r>
          </w:p>
        </w:tc>
        <w:tc>
          <w:tcPr>
            <w:tcW w:w="428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44A17" w:rsidRDefault="00244A17">
            <w:pPr>
              <w:rPr>
                <w:sz w:val="24"/>
              </w:rPr>
            </w:pPr>
          </w:p>
        </w:tc>
        <w:tc>
          <w:tcPr>
            <w:tcW w:w="311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44A17" w:rsidRDefault="00244A17">
            <w:pPr>
              <w:rPr>
                <w:sz w:val="24"/>
              </w:rPr>
            </w:pPr>
          </w:p>
        </w:tc>
      </w:tr>
    </w:tbl>
    <w:p w:rsidR="00244A17" w:rsidRDefault="00CD64EB">
      <w:r>
        <w:rPr>
          <w:rFonts w:ascii="Times New Roman" w:eastAsia="Times New Roman" w:hAnsi="Times New Roman" w:cs="Times New Roman"/>
          <w:sz w:val="24"/>
          <w:szCs w:val="24"/>
        </w:rPr>
        <w:t>Документ подписан электронной подписью. Дата представления 06.02.2026</w:t>
      </w:r>
      <w:r>
        <w:rPr>
          <w:rFonts w:ascii="Times New Roman" w:eastAsia="Times New Roman" w:hAnsi="Times New Roman" w:cs="Times New Roman"/>
          <w:sz w:val="24"/>
          <w:szCs w:val="24"/>
        </w:rPr>
        <w:br/>
        <w:t xml:space="preserve">Главный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бухгалтер(</w:t>
      </w:r>
      <w:proofErr w:type="spellStart"/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Танганова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Жанна Леонидовна, Сертификат: 00C7AF94CFDA2BA07D38B95DF26E0E1BB6, Действителен: с 30.05.2025 по 23.08.2026), Руководитель(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Мантыкова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Натал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</w:rPr>
        <w:t xml:space="preserve">ья Васильевна, Сертификат: 00B542020F8FC068FCE99B9A545AD813AD, Действителен: с 12.03.2025 по 05.06.2026), Руководитель финансово-экономической службы(Богданова Наталья Константиновна, Сертификат: 00B51C23435F98777B5D470EB3A9C4EA9C, Действителен: с 30.12.2025 по 25.03.2027)        </w:t>
      </w:r>
    </w:p>
    <w:sectPr w:rsidR="00244A17" w:rsidSect="00CD64EB">
      <w:pgSz w:w="12240" w:h="15840"/>
      <w:pgMar w:top="1440" w:right="1440" w:bottom="1440" w:left="144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BAE27B2"/>
    <w:multiLevelType w:val="hybridMultilevel"/>
    <w:tmpl w:val="209A067C"/>
    <w:lvl w:ilvl="0" w:tplc="55734B56">
      <w:start w:val="1"/>
      <w:numFmt w:val="decimal"/>
      <w:lvlText w:val="%1."/>
      <w:lvlJc w:val="left"/>
      <w:pPr>
        <w:ind w:left="720" w:hanging="360"/>
      </w:pPr>
    </w:lvl>
    <w:lvl w:ilvl="1" w:tplc="2900E5A8">
      <w:start w:val="1"/>
      <w:numFmt w:val="decimal"/>
      <w:lvlText w:val="%2."/>
      <w:lvlJc w:val="left"/>
      <w:pPr>
        <w:ind w:left="1440" w:hanging="360"/>
      </w:pPr>
    </w:lvl>
    <w:lvl w:ilvl="2" w:tplc="13D06B35">
      <w:start w:val="1"/>
      <w:numFmt w:val="decimal"/>
      <w:lvlText w:val="%3."/>
      <w:lvlJc w:val="left"/>
      <w:pPr>
        <w:ind w:left="2160" w:hanging="360"/>
      </w:pPr>
    </w:lvl>
    <w:lvl w:ilvl="3" w:tplc="391660AE">
      <w:start w:val="1"/>
      <w:numFmt w:val="decimal"/>
      <w:lvlText w:val="%4."/>
      <w:lvlJc w:val="left"/>
      <w:pPr>
        <w:ind w:left="2880" w:hanging="360"/>
      </w:pPr>
    </w:lvl>
    <w:lvl w:ilvl="4" w:tplc="6702B27B">
      <w:start w:val="1"/>
      <w:numFmt w:val="decimal"/>
      <w:lvlText w:val="%5."/>
      <w:lvlJc w:val="left"/>
      <w:pPr>
        <w:ind w:left="3600" w:hanging="360"/>
      </w:pPr>
    </w:lvl>
    <w:lvl w:ilvl="5" w:tplc="4DDF5143">
      <w:start w:val="1"/>
      <w:numFmt w:val="decimal"/>
      <w:lvlText w:val="%6."/>
      <w:lvlJc w:val="left"/>
      <w:pPr>
        <w:ind w:left="4320" w:hanging="360"/>
      </w:pPr>
    </w:lvl>
    <w:lvl w:ilvl="6" w:tplc="77A1C5E2">
      <w:start w:val="1"/>
      <w:numFmt w:val="decimal"/>
      <w:lvlText w:val="%7."/>
      <w:lvlJc w:val="left"/>
      <w:pPr>
        <w:ind w:left="5040" w:hanging="360"/>
      </w:pPr>
    </w:lvl>
    <w:lvl w:ilvl="7" w:tplc="1E2332C7">
      <w:start w:val="1"/>
      <w:numFmt w:val="decimal"/>
      <w:lvlText w:val="%8."/>
      <w:lvlJc w:val="left"/>
      <w:pPr>
        <w:ind w:left="5760" w:hanging="360"/>
      </w:pPr>
    </w:lvl>
    <w:lvl w:ilvl="8" w:tplc="6B979037">
      <w:start w:val="1"/>
      <w:numFmt w:val="decimal"/>
      <w:lvlText w:val="%9."/>
      <w:lvlJc w:val="left"/>
      <w:pPr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compressPunctuation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4A17"/>
    <w:rsid w:val="00244A17"/>
    <w:rsid w:val="00B4019A"/>
    <w:rsid w:val="00C63E6A"/>
    <w:rsid w:val="00CD64EB"/>
    <w:rsid w:val="00DA4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undOvr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8F2D889-7D0F-4A87-82EE-13BD71668C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semiHidden/>
  </w:style>
  <w:style w:type="character" w:styleId="a4">
    <w:name w:val="Hyperlink"/>
    <w:rPr>
      <w:color w:val="0000FF"/>
      <w:u w:val="single"/>
    </w:rPr>
  </w:style>
  <w:style w:type="table" w:styleId="1">
    <w:name w:val="Table Simple 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B4019A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4019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7EAADF"/>
      </a:accent1>
      <a:accent2>
        <a:srgbClr val="EA726F"/>
      </a:accent2>
      <a:accent3>
        <a:srgbClr val="A9D774"/>
      </a:accent3>
      <a:accent4>
        <a:srgbClr val="A78BC9"/>
      </a:accent4>
      <a:accent5>
        <a:srgbClr val="78CBE1"/>
      </a:accent5>
      <a:accent6>
        <a:srgbClr val="FCBF8C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algn="ctr">
          <a:solidFill>
            <a:schemeClr val="phClr"/>
          </a:solidFill>
          <a:prstDash val="solid"/>
        </a:ln>
        <a:ln w="38100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8</Pages>
  <Words>2943</Words>
  <Characters>16776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19680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FIN-SERGEEVANG</dc:creator>
  <cp:lastModifiedBy>FIN-SERGEEVANG</cp:lastModifiedBy>
  <cp:revision>4</cp:revision>
  <cp:lastPrinted>2026-03-11T01:08:00Z</cp:lastPrinted>
  <dcterms:created xsi:type="dcterms:W3CDTF">2026-03-10T08:30:00Z</dcterms:created>
  <dcterms:modified xsi:type="dcterms:W3CDTF">2026-03-11T03:42:00Z</dcterms:modified>
</cp:coreProperties>
</file>